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right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1908"/>
        <w:gridCol w:w="6480"/>
        <w:gridCol w:w="2033"/>
      </w:tblGrid>
      <w:tr w:rsidR="00270E77" w:rsidRPr="003E1E10" w:rsidTr="00761D0A">
        <w:tc>
          <w:tcPr>
            <w:tcW w:w="1908" w:type="dxa"/>
          </w:tcPr>
          <w:p w:rsidR="00270E77" w:rsidRPr="00D34983" w:rsidRDefault="00270E77" w:rsidP="00761D0A">
            <w:pPr>
              <w:keepNext/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6480" w:type="dxa"/>
          </w:tcPr>
          <w:p w:rsidR="00270E77" w:rsidRPr="003E1E10" w:rsidRDefault="00C6442B" w:rsidP="00761D0A">
            <w:pPr>
              <w:keepNext/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 w:rsidRPr="003E1E10">
              <w:rPr>
                <w:sz w:val="30"/>
                <w:szCs w:val="30"/>
                <w:lang w:val="tt-RU"/>
              </w:rPr>
              <w:t>2023 ел йомгаклары</w:t>
            </w:r>
            <w:r w:rsidR="003E1E10">
              <w:rPr>
                <w:sz w:val="30"/>
                <w:szCs w:val="30"/>
                <w:lang w:val="tt-RU"/>
              </w:rPr>
              <w:t xml:space="preserve"> </w:t>
            </w:r>
            <w:r w:rsidR="003E1E10" w:rsidRPr="003E1E10">
              <w:rPr>
                <w:sz w:val="30"/>
                <w:szCs w:val="30"/>
                <w:lang w:val="tt-RU"/>
              </w:rPr>
              <w:t>буенча</w:t>
            </w:r>
            <w:r w:rsidR="003E1E10">
              <w:rPr>
                <w:sz w:val="30"/>
                <w:szCs w:val="30"/>
                <w:lang w:val="tt-RU"/>
              </w:rPr>
              <w:t xml:space="preserve"> «Ватаным Татарстан» газетасы редакциясе» һәм «Республика Татарстан» газетасы редакциясе» Татарстан Республикасы дәүләт бюджет учреждениеләре тарафыннан дәүләт йөкләмәләрен үтәү турында</w:t>
            </w:r>
          </w:p>
          <w:p w:rsidR="00270E77" w:rsidRPr="00D34983" w:rsidRDefault="00270E77" w:rsidP="00761D0A">
            <w:pPr>
              <w:keepNext/>
              <w:jc w:val="both"/>
              <w:rPr>
                <w:sz w:val="30"/>
                <w:szCs w:val="30"/>
                <w:lang w:val="tt-RU"/>
              </w:rPr>
            </w:pPr>
          </w:p>
        </w:tc>
        <w:tc>
          <w:tcPr>
            <w:tcW w:w="2033" w:type="dxa"/>
          </w:tcPr>
          <w:p w:rsidR="00270E77" w:rsidRPr="00D34983" w:rsidRDefault="00270E77" w:rsidP="00761D0A">
            <w:pPr>
              <w:keepNext/>
              <w:jc w:val="center"/>
              <w:rPr>
                <w:sz w:val="30"/>
                <w:szCs w:val="30"/>
                <w:lang w:val="tt-RU"/>
              </w:rPr>
            </w:pPr>
          </w:p>
        </w:tc>
      </w:tr>
    </w:tbl>
    <w:p w:rsidR="00270E77" w:rsidRPr="00A66055" w:rsidRDefault="00270E77" w:rsidP="00270E77">
      <w:pPr>
        <w:tabs>
          <w:tab w:val="left" w:pos="8280"/>
        </w:tabs>
        <w:ind w:right="-55"/>
        <w:jc w:val="center"/>
        <w:rPr>
          <w:sz w:val="30"/>
          <w:szCs w:val="30"/>
          <w:u w:val="single"/>
          <w:lang w:val="tt-RU"/>
        </w:rPr>
      </w:pPr>
    </w:p>
    <w:p w:rsidR="00F90D24" w:rsidRDefault="003E1E10" w:rsidP="00270E77">
      <w:pPr>
        <w:ind w:firstLine="720"/>
        <w:jc w:val="both"/>
        <w:rPr>
          <w:sz w:val="30"/>
          <w:szCs w:val="30"/>
          <w:u w:val="single"/>
          <w:lang w:val="tt-RU"/>
        </w:rPr>
      </w:pPr>
      <w:r w:rsidRPr="003E1E10">
        <w:rPr>
          <w:sz w:val="30"/>
          <w:szCs w:val="30"/>
          <w:lang w:val="tt-RU"/>
        </w:rPr>
        <w:t>2023 ел йомгаклары</w:t>
      </w:r>
      <w:r>
        <w:rPr>
          <w:sz w:val="30"/>
          <w:szCs w:val="30"/>
          <w:lang w:val="tt-RU"/>
        </w:rPr>
        <w:t xml:space="preserve"> </w:t>
      </w:r>
      <w:r w:rsidRPr="003E1E10">
        <w:rPr>
          <w:sz w:val="30"/>
          <w:szCs w:val="30"/>
          <w:lang w:val="tt-RU"/>
        </w:rPr>
        <w:t>буенча</w:t>
      </w:r>
      <w:r>
        <w:rPr>
          <w:sz w:val="30"/>
          <w:szCs w:val="30"/>
          <w:lang w:val="tt-RU"/>
        </w:rPr>
        <w:t xml:space="preserve"> «Ватаным Татарстан» газетасы редакциясе» һәм «Республика Татарстан» газетасы редакциясе» Татарстан Республикасы дәүләт бюджет учреждениеләре тарафыннан дәүләт йөкләмәләрен үтәү турында</w:t>
      </w:r>
      <w:r w:rsidR="00270E77" w:rsidRPr="00A66055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«Ватаным Татарстан» газетасы</w:t>
      </w:r>
      <w:r w:rsidRPr="00A66055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баш мөхәррире Г.И. Сабированың һәм «Республика Татарстан» газетасы</w:t>
      </w:r>
      <w:r w:rsidRPr="00A66055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баш мөхәррире А.Е. Угаровның мәгълүматларын тыңлап фикер алышканнан соң,</w:t>
      </w:r>
      <w:r w:rsidRPr="00A66055">
        <w:rPr>
          <w:sz w:val="30"/>
          <w:szCs w:val="30"/>
          <w:lang w:val="tt-RU"/>
        </w:rPr>
        <w:t xml:space="preserve"> </w:t>
      </w:r>
      <w:r w:rsidR="00270E77" w:rsidRPr="00A66055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="00270E77" w:rsidRPr="00A66055">
        <w:rPr>
          <w:sz w:val="30"/>
          <w:szCs w:val="30"/>
          <w:u w:val="single"/>
          <w:lang w:val="tt-RU"/>
        </w:rPr>
        <w:t>КАРАР БИРӘ</w:t>
      </w:r>
      <w:r w:rsidR="00270E77">
        <w:rPr>
          <w:sz w:val="30"/>
          <w:szCs w:val="30"/>
          <w:u w:val="single"/>
          <w:lang w:val="tt-RU"/>
        </w:rPr>
        <w:t>:</w:t>
      </w:r>
    </w:p>
    <w:p w:rsidR="00B02A1B" w:rsidRDefault="003E1E10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1. </w:t>
      </w:r>
      <w:r w:rsidRPr="003E1E10">
        <w:rPr>
          <w:sz w:val="30"/>
          <w:szCs w:val="30"/>
          <w:lang w:val="tt-RU"/>
        </w:rPr>
        <w:t>2023 ел йомгаклары</w:t>
      </w:r>
      <w:r>
        <w:rPr>
          <w:sz w:val="30"/>
          <w:szCs w:val="30"/>
          <w:lang w:val="tt-RU"/>
        </w:rPr>
        <w:t xml:space="preserve"> </w:t>
      </w:r>
      <w:r w:rsidRPr="003E1E10">
        <w:rPr>
          <w:sz w:val="30"/>
          <w:szCs w:val="30"/>
          <w:lang w:val="tt-RU"/>
        </w:rPr>
        <w:t>буенча</w:t>
      </w:r>
      <w:r>
        <w:rPr>
          <w:sz w:val="30"/>
          <w:szCs w:val="30"/>
          <w:lang w:val="tt-RU"/>
        </w:rPr>
        <w:t xml:space="preserve"> «Ватаным Татарстан» газетасы редакциясе» һәм «Республика Татарстан» газетасы редакциясе» Татарстан Республикасы дәүләт бюджет учреждениеләре тарафыннан дәүләт йөкләмәләрен үтәү турында мәгълүматларны игътибарга алырга.</w:t>
      </w:r>
    </w:p>
    <w:p w:rsidR="00A0155B" w:rsidRDefault="00A0155B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2. Татарстан Республикасы Министрлар Кабинетына «Ватаным Татарстан» һәм «Республика Татарстан» газеталары</w:t>
      </w:r>
      <w:r w:rsidR="00CF09B9">
        <w:rPr>
          <w:sz w:val="30"/>
          <w:szCs w:val="30"/>
          <w:lang w:val="tt-RU"/>
        </w:rPr>
        <w:t>ның «Интернет» мәгълүмат-телекоммуникация челтәрендәге электрон версияләре өчен яңа заманча платформалар булдыру һәм аларга ярдәм итү эшләрен өстәмә финанслау мөмкинлеген карарга тәкъдим итәргә.</w:t>
      </w:r>
    </w:p>
    <w:p w:rsidR="00C058A3" w:rsidRDefault="00C058A3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3. «Ватаным Татарстан» һәм «Республика Татарстан» газеталары баш мөхәррирләренә:</w:t>
      </w:r>
    </w:p>
    <w:p w:rsidR="00C058A3" w:rsidRDefault="00C058A3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3.1. Басма һәм электрон рәвештәге газеталар </w:t>
      </w:r>
      <w:r w:rsidR="00CA25EC">
        <w:rPr>
          <w:sz w:val="30"/>
          <w:szCs w:val="30"/>
          <w:lang w:val="tt-RU"/>
        </w:rPr>
        <w:t>чыгару</w:t>
      </w:r>
      <w:r>
        <w:rPr>
          <w:sz w:val="30"/>
          <w:szCs w:val="30"/>
          <w:lang w:val="tt-RU"/>
        </w:rPr>
        <w:t>ны</w:t>
      </w:r>
      <w:r w:rsidR="00CA25EC">
        <w:rPr>
          <w:sz w:val="30"/>
          <w:szCs w:val="30"/>
          <w:lang w:val="tt-RU"/>
        </w:rPr>
        <w:t>, газеталар таратуны, басылып чыккан материалның 2024 елга, 2025 һәм 2026 еллар план чорына Татарстан Республикасы Дәүләт Советы Рәисе һәм Татарстан Республикасы Премьер-министры тарафыннан расланган дәүләт йөкләмәләре нигезендә билгеләнгән тематикага туры килүен тәэмин итүне дәвам итәргә.</w:t>
      </w:r>
    </w:p>
    <w:p w:rsidR="005E10DD" w:rsidRDefault="005E10DD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3.2. Заманча эшчәнлек рәвешләрен гамәлгә кертү, </w:t>
      </w:r>
      <w:r w:rsidR="002A4C52">
        <w:rPr>
          <w:sz w:val="30"/>
          <w:szCs w:val="30"/>
          <w:lang w:val="tt-RU"/>
        </w:rPr>
        <w:t xml:space="preserve">публикацияләрнең аналитик эчтәлеген көчәйтү, Татарстан Республикасының сәяси, иҗтимагый, икътисадый һәм мәдәни тормышы турында мәгълүмати һәм башка </w:t>
      </w:r>
      <w:r w:rsidR="002A4C52">
        <w:rPr>
          <w:sz w:val="30"/>
          <w:szCs w:val="30"/>
          <w:lang w:val="tt-RU"/>
        </w:rPr>
        <w:lastRenderedPageBreak/>
        <w:t>материаллар әзерләгәндә Татарстан Республикасы Дәүләт Советы депутатларын һәм Татарстан Республикасы Министрлар Кабинеты, республика башкарма хакимият органнары вәкилләрен җәлеп итү эшен дәвам итәргә.</w:t>
      </w:r>
    </w:p>
    <w:p w:rsidR="00B8384F" w:rsidRDefault="00B8384F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4. «Татмедиа» матбугат һәм массакүләм коммуникацияләр буенча республика агентлыгына түбәндәгеләрне тәкъдим итәргә:</w:t>
      </w:r>
    </w:p>
    <w:p w:rsidR="00B24D97" w:rsidRDefault="00B8384F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4.1. «Ватаным Татарстан» һәм «Республика Татарстан» газеталары редакцияләренә аларның уставларында билгеләнгән максатларны һәм бурычларны гамәлгә ашыруда ярдәм күрсәтергә.</w:t>
      </w:r>
    </w:p>
    <w:p w:rsidR="00B8384F" w:rsidRDefault="00B24D97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4.2. «Ватаным Татарстан» һәм «Республика Татарстан» газеталары редакцияләре белән берлектә язылу кампаниял</w:t>
      </w:r>
      <w:r w:rsidR="007925BB">
        <w:rPr>
          <w:sz w:val="30"/>
          <w:szCs w:val="30"/>
          <w:lang w:val="tt-RU"/>
        </w:rPr>
        <w:t xml:space="preserve">әре нәтиҗәләрен анализларга, </w:t>
      </w:r>
      <w:r>
        <w:rPr>
          <w:sz w:val="30"/>
          <w:szCs w:val="30"/>
          <w:lang w:val="tt-RU"/>
        </w:rPr>
        <w:t>тираж</w:t>
      </w:r>
      <w:r w:rsidR="007925BB">
        <w:rPr>
          <w:sz w:val="30"/>
          <w:szCs w:val="30"/>
          <w:lang w:val="tt-RU"/>
        </w:rPr>
        <w:t>ны</w:t>
      </w:r>
      <w:r>
        <w:rPr>
          <w:sz w:val="30"/>
          <w:szCs w:val="30"/>
          <w:lang w:val="tt-RU"/>
        </w:rPr>
        <w:t xml:space="preserve"> һәм язылучылар санын </w:t>
      </w:r>
      <w:r w:rsidR="007925BB">
        <w:rPr>
          <w:sz w:val="30"/>
          <w:szCs w:val="30"/>
          <w:lang w:val="tt-RU"/>
        </w:rPr>
        <w:t>арттыру чараларын күрергә.</w:t>
      </w:r>
    </w:p>
    <w:p w:rsidR="00F9349B" w:rsidRDefault="00182C1D" w:rsidP="00B02A1B">
      <w:pPr>
        <w:ind w:right="-55" w:firstLine="720"/>
        <w:jc w:val="both"/>
        <w:rPr>
          <w:sz w:val="30"/>
          <w:szCs w:val="30"/>
          <w:lang w:val="tt-RU"/>
        </w:rPr>
      </w:pPr>
      <w:r w:rsidRPr="00182C1D">
        <w:rPr>
          <w:sz w:val="30"/>
          <w:szCs w:val="30"/>
          <w:lang w:val="tt-RU"/>
        </w:rPr>
        <w:t xml:space="preserve">4.3. </w:t>
      </w:r>
      <w:r w:rsidRPr="00182C1D">
        <w:rPr>
          <w:bCs/>
          <w:sz w:val="30"/>
          <w:szCs w:val="30"/>
          <w:lang w:val="tt-RU"/>
        </w:rPr>
        <w:t>Татарстан Республикасы Дәүләт идарәсен цифрлы нигездә үстерү, мәгълүмат технологияләре һәм элемтә министрлыгы</w:t>
      </w:r>
      <w:r>
        <w:rPr>
          <w:bCs/>
          <w:sz w:val="30"/>
          <w:szCs w:val="30"/>
          <w:lang w:val="tt-RU"/>
        </w:rPr>
        <w:t xml:space="preserve"> һәм Федераль почта хезмәтенең «Татарстан почтасы» идарәсе белән берлектә Татарстан Республикасы территориясендә почта элемтәсе объектлары челтәрен, вакытлы басмаларны үз вакытында китерү хезмәтләрен камилләштерү </w:t>
      </w:r>
      <w:r>
        <w:rPr>
          <w:sz w:val="30"/>
          <w:szCs w:val="30"/>
          <w:lang w:val="tt-RU"/>
        </w:rPr>
        <w:t>чараларын күрергә.</w:t>
      </w:r>
    </w:p>
    <w:p w:rsidR="00182C1D" w:rsidRDefault="00F9349B" w:rsidP="00B02A1B">
      <w:pPr>
        <w:ind w:right="-55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5. «Ватаным Татарстан» һәм «Республика Татарстан» газеталарын гамәлгә куючылар советларына «Ватаным Татарстан» газетасы редакциясе» һәм «Республика Татарстан» газетасы редакциясе» Татарстан Республикасы </w:t>
      </w:r>
      <w:r w:rsidR="002768DA">
        <w:rPr>
          <w:sz w:val="30"/>
          <w:szCs w:val="30"/>
          <w:lang w:val="tt-RU"/>
        </w:rPr>
        <w:t xml:space="preserve">дәүләт бюджет учреждениеләренең </w:t>
      </w:r>
      <w:r>
        <w:rPr>
          <w:sz w:val="30"/>
          <w:szCs w:val="30"/>
          <w:lang w:val="tt-RU"/>
        </w:rPr>
        <w:t>дәүләт йөкләмәләрен үтә</w:t>
      </w:r>
      <w:r w:rsidR="002768DA">
        <w:rPr>
          <w:sz w:val="30"/>
          <w:szCs w:val="30"/>
          <w:lang w:val="tt-RU"/>
        </w:rPr>
        <w:t>вен</w:t>
      </w:r>
      <w:r>
        <w:rPr>
          <w:bCs/>
          <w:sz w:val="30"/>
          <w:szCs w:val="30"/>
          <w:lang w:val="tt-RU"/>
        </w:rPr>
        <w:t xml:space="preserve"> тикшереп тор</w:t>
      </w:r>
      <w:r w:rsidR="002768DA">
        <w:rPr>
          <w:bCs/>
          <w:sz w:val="30"/>
          <w:szCs w:val="30"/>
          <w:lang w:val="tt-RU"/>
        </w:rPr>
        <w:t>уны</w:t>
      </w:r>
      <w:r w:rsidR="00E11367">
        <w:rPr>
          <w:bCs/>
          <w:sz w:val="30"/>
          <w:szCs w:val="30"/>
          <w:lang w:val="tt-RU"/>
        </w:rPr>
        <w:t xml:space="preserve"> һәм, кирәк булганда, Татарстан Республикасы Дәүләт Советы һәм Татарстан Республикасы Министрлар Кабинеты тарафыннан фикер алышуга </w:t>
      </w:r>
      <w:r w:rsidR="00E11367">
        <w:rPr>
          <w:sz w:val="30"/>
          <w:szCs w:val="30"/>
          <w:lang w:val="tt-RU"/>
        </w:rPr>
        <w:t xml:space="preserve">«Ватаным Татарстан» һәм «Республика Татарстан» газеталары редакцияләре эшчәнлеген </w:t>
      </w:r>
      <w:r w:rsidR="00E11367">
        <w:rPr>
          <w:bCs/>
          <w:sz w:val="30"/>
          <w:szCs w:val="30"/>
          <w:lang w:val="tt-RU"/>
        </w:rPr>
        <w:t>камилләштерү</w:t>
      </w:r>
      <w:r w:rsidR="00E11367">
        <w:rPr>
          <w:sz w:val="30"/>
          <w:szCs w:val="30"/>
          <w:lang w:val="tt-RU"/>
        </w:rPr>
        <w:t xml:space="preserve"> һәм аларның эш нәтиҗәлелеген арттыру тәкъдимнәрен кертүне тәкъдим итәргә.</w:t>
      </w:r>
    </w:p>
    <w:p w:rsidR="00E11367" w:rsidRPr="00182C1D" w:rsidRDefault="00E11367" w:rsidP="00B02A1B">
      <w:pPr>
        <w:ind w:right="-55" w:firstLine="720"/>
        <w:jc w:val="both"/>
        <w:rPr>
          <w:bCs/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6. </w:t>
      </w:r>
      <w:r w:rsidR="005509BE" w:rsidRPr="0000133B">
        <w:rPr>
          <w:sz w:val="30"/>
          <w:szCs w:val="30"/>
          <w:lang w:val="tt-RU"/>
        </w:rPr>
        <w:t xml:space="preserve">Әлеге карарның үтәлешен тикшереп торуны </w:t>
      </w:r>
      <w:r w:rsidR="005509BE">
        <w:rPr>
          <w:sz w:val="30"/>
          <w:szCs w:val="30"/>
          <w:lang w:val="tt-RU"/>
        </w:rPr>
        <w:t>Татарстан Республикасы Дәүләт Советының Мәгариф, мәдәният, фән һәм милли мәсьәләләр комитетына</w:t>
      </w:r>
      <w:r w:rsidR="005509BE" w:rsidRPr="0000133B">
        <w:rPr>
          <w:sz w:val="30"/>
          <w:szCs w:val="30"/>
          <w:lang w:val="tt-RU"/>
        </w:rPr>
        <w:t xml:space="preserve"> йөкләргә.</w:t>
      </w:r>
    </w:p>
    <w:p w:rsidR="00F90D24" w:rsidRPr="008A57BD" w:rsidRDefault="00F90D24" w:rsidP="00F90D24">
      <w:pPr>
        <w:ind w:firstLine="720"/>
        <w:jc w:val="both"/>
        <w:rPr>
          <w:sz w:val="30"/>
          <w:szCs w:val="30"/>
          <w:lang w:val="tt-RU"/>
        </w:rPr>
      </w:pPr>
    </w:p>
    <w:p w:rsidR="00F90D24" w:rsidRDefault="00F90D24" w:rsidP="00F90D24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920"/>
        <w:gridCol w:w="4501"/>
      </w:tblGrid>
      <w:tr w:rsidR="00F90D24" w:rsidRPr="00B24D97" w:rsidTr="0088622C">
        <w:tc>
          <w:tcPr>
            <w:tcW w:w="5920" w:type="dxa"/>
          </w:tcPr>
          <w:p w:rsidR="00F90D24" w:rsidRPr="00720F3C" w:rsidRDefault="00F90D24" w:rsidP="008F3490">
            <w:pPr>
              <w:rPr>
                <w:color w:val="000000"/>
                <w:sz w:val="30"/>
                <w:szCs w:val="30"/>
                <w:lang w:val="tt-RU"/>
              </w:rPr>
            </w:pPr>
            <w:r w:rsidRPr="00720F3C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F90D24" w:rsidRPr="00720F3C" w:rsidRDefault="004635DA" w:rsidP="0088622C">
            <w:pPr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Дәүләт Советы</w:t>
            </w:r>
            <w:r w:rsidR="00F90D24" w:rsidRPr="00720F3C">
              <w:rPr>
                <w:color w:val="000000"/>
                <w:sz w:val="30"/>
                <w:szCs w:val="30"/>
                <w:lang w:val="tt-RU"/>
              </w:rPr>
              <w:t xml:space="preserve"> Рәисе </w:t>
            </w:r>
          </w:p>
        </w:tc>
        <w:tc>
          <w:tcPr>
            <w:tcW w:w="4501" w:type="dxa"/>
          </w:tcPr>
          <w:p w:rsidR="00F90D24" w:rsidRPr="00720F3C" w:rsidRDefault="00F90D24" w:rsidP="008F3490">
            <w:pPr>
              <w:rPr>
                <w:color w:val="000000"/>
                <w:sz w:val="30"/>
                <w:szCs w:val="30"/>
                <w:lang w:val="tt-RU"/>
              </w:rPr>
            </w:pPr>
          </w:p>
          <w:p w:rsidR="00F90D24" w:rsidRPr="00720F3C" w:rsidRDefault="0088622C" w:rsidP="0088622C">
            <w:pPr>
              <w:jc w:val="right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Ф.Х. Мөхәммәтшин</w:t>
            </w:r>
          </w:p>
        </w:tc>
      </w:tr>
      <w:tr w:rsidR="00F90D24" w:rsidRPr="00B24D97" w:rsidTr="0088622C">
        <w:tc>
          <w:tcPr>
            <w:tcW w:w="5920" w:type="dxa"/>
          </w:tcPr>
          <w:p w:rsidR="00F90D24" w:rsidRPr="00720F3C" w:rsidRDefault="00F90D24" w:rsidP="008F3490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4501" w:type="dxa"/>
          </w:tcPr>
          <w:p w:rsidR="00F90D24" w:rsidRPr="00720F3C" w:rsidRDefault="00F90D24" w:rsidP="008F3490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</w:tr>
      <w:tr w:rsidR="00F90D24" w:rsidRPr="00B24D97" w:rsidTr="0088622C">
        <w:tc>
          <w:tcPr>
            <w:tcW w:w="5920" w:type="dxa"/>
          </w:tcPr>
          <w:p w:rsidR="004635DA" w:rsidRPr="00BB22D4" w:rsidRDefault="004635DA" w:rsidP="004635DA">
            <w:pPr>
              <w:jc w:val="both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4635DA" w:rsidRPr="00BB22D4" w:rsidRDefault="004635DA" w:rsidP="004635DA">
            <w:pPr>
              <w:jc w:val="both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 w:rsidR="001C569F">
              <w:rPr>
                <w:sz w:val="30"/>
                <w:szCs w:val="30"/>
                <w:shd w:val="clear" w:color="auto" w:fill="FFFFFF"/>
                <w:lang w:val="tt-RU"/>
              </w:rPr>
              <w:t>4</w:t>
            </w: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 w:rsidR="001C569F">
              <w:rPr>
                <w:sz w:val="30"/>
                <w:szCs w:val="30"/>
                <w:shd w:val="clear" w:color="auto" w:fill="FFFFFF"/>
                <w:lang w:val="tt-RU"/>
              </w:rPr>
              <w:t>6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 феврале </w:t>
            </w:r>
          </w:p>
          <w:p w:rsidR="00F90D24" w:rsidRPr="00720F3C" w:rsidRDefault="004635DA" w:rsidP="007A38FC">
            <w:pPr>
              <w:rPr>
                <w:color w:val="000000"/>
                <w:sz w:val="30"/>
                <w:szCs w:val="30"/>
                <w:lang w:val="tt-RU"/>
              </w:rPr>
            </w:pP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 xml:space="preserve">№ </w:t>
            </w:r>
            <w:r w:rsidR="001C569F">
              <w:rPr>
                <w:sz w:val="30"/>
                <w:szCs w:val="30"/>
                <w:shd w:val="clear" w:color="auto" w:fill="FFFFFF"/>
                <w:lang w:val="tt-RU"/>
              </w:rPr>
              <w:t>232</w:t>
            </w:r>
            <w:r w:rsidR="007A38FC">
              <w:rPr>
                <w:sz w:val="30"/>
                <w:szCs w:val="30"/>
                <w:shd w:val="clear" w:color="auto" w:fill="FFFFFF"/>
                <w:lang w:val="tt-RU"/>
              </w:rPr>
              <w:t>4</w:t>
            </w: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>-</w:t>
            </w:r>
            <w:r w:rsidRPr="00BB22D4">
              <w:rPr>
                <w:sz w:val="30"/>
                <w:szCs w:val="30"/>
                <w:lang w:val="tt-RU"/>
              </w:rPr>
              <w:t xml:space="preserve">VI </w:t>
            </w: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4501" w:type="dxa"/>
          </w:tcPr>
          <w:p w:rsidR="00F90D24" w:rsidRPr="00720F3C" w:rsidRDefault="00F90D24" w:rsidP="008F3490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F90D24" w:rsidRPr="004635DA" w:rsidRDefault="00F90D24" w:rsidP="00F90D24">
      <w:pPr>
        <w:rPr>
          <w:lang w:val="tt-RU"/>
        </w:rPr>
      </w:pPr>
    </w:p>
    <w:sectPr w:rsidR="00F90D24" w:rsidRPr="004635DA" w:rsidSect="008F3490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F0" w:rsidRDefault="001816F0">
      <w:r>
        <w:separator/>
      </w:r>
    </w:p>
  </w:endnote>
  <w:endnote w:type="continuationSeparator" w:id="0">
    <w:p w:rsidR="001816F0" w:rsidRDefault="0018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F0" w:rsidRDefault="001816F0">
      <w:r>
        <w:separator/>
      </w:r>
    </w:p>
  </w:footnote>
  <w:footnote w:type="continuationSeparator" w:id="0">
    <w:p w:rsidR="001816F0" w:rsidRDefault="0018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BE" w:rsidRDefault="001862E5" w:rsidP="008F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0BE" w:rsidRDefault="00E53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BE" w:rsidRPr="007226B7" w:rsidRDefault="001862E5" w:rsidP="008F349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226B7">
      <w:rPr>
        <w:rStyle w:val="a5"/>
        <w:sz w:val="24"/>
        <w:szCs w:val="24"/>
      </w:rPr>
      <w:fldChar w:fldCharType="begin"/>
    </w:r>
    <w:r w:rsidR="00E530BE" w:rsidRPr="007226B7">
      <w:rPr>
        <w:rStyle w:val="a5"/>
        <w:sz w:val="24"/>
        <w:szCs w:val="24"/>
      </w:rPr>
      <w:instrText xml:space="preserve">PAGE  </w:instrText>
    </w:r>
    <w:r w:rsidRPr="007226B7">
      <w:rPr>
        <w:rStyle w:val="a5"/>
        <w:sz w:val="24"/>
        <w:szCs w:val="24"/>
      </w:rPr>
      <w:fldChar w:fldCharType="separate"/>
    </w:r>
    <w:r w:rsidR="007226B7">
      <w:rPr>
        <w:rStyle w:val="a5"/>
        <w:noProof/>
        <w:sz w:val="24"/>
        <w:szCs w:val="24"/>
      </w:rPr>
      <w:t>2</w:t>
    </w:r>
    <w:r w:rsidRPr="007226B7">
      <w:rPr>
        <w:rStyle w:val="a5"/>
        <w:sz w:val="24"/>
        <w:szCs w:val="24"/>
      </w:rPr>
      <w:fldChar w:fldCharType="end"/>
    </w:r>
  </w:p>
  <w:p w:rsidR="00E530BE" w:rsidRDefault="00E53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D24"/>
    <w:rsid w:val="00160873"/>
    <w:rsid w:val="001816F0"/>
    <w:rsid w:val="00182C1D"/>
    <w:rsid w:val="001862E5"/>
    <w:rsid w:val="001C569F"/>
    <w:rsid w:val="00270E77"/>
    <w:rsid w:val="002768DA"/>
    <w:rsid w:val="00286289"/>
    <w:rsid w:val="002A2F5A"/>
    <w:rsid w:val="002A4C52"/>
    <w:rsid w:val="002F7299"/>
    <w:rsid w:val="003E1E10"/>
    <w:rsid w:val="004353E3"/>
    <w:rsid w:val="004635DA"/>
    <w:rsid w:val="005216F9"/>
    <w:rsid w:val="005509BE"/>
    <w:rsid w:val="00560514"/>
    <w:rsid w:val="005705EE"/>
    <w:rsid w:val="00574EE1"/>
    <w:rsid w:val="005B231C"/>
    <w:rsid w:val="005C0669"/>
    <w:rsid w:val="005E10DD"/>
    <w:rsid w:val="006A2F6E"/>
    <w:rsid w:val="0072205B"/>
    <w:rsid w:val="007226B7"/>
    <w:rsid w:val="00740C36"/>
    <w:rsid w:val="00761D0A"/>
    <w:rsid w:val="0077632C"/>
    <w:rsid w:val="007925BB"/>
    <w:rsid w:val="007A38FC"/>
    <w:rsid w:val="007C7DA5"/>
    <w:rsid w:val="0084707F"/>
    <w:rsid w:val="00864779"/>
    <w:rsid w:val="0088622C"/>
    <w:rsid w:val="00897619"/>
    <w:rsid w:val="008C1624"/>
    <w:rsid w:val="008F3490"/>
    <w:rsid w:val="00924404"/>
    <w:rsid w:val="009A558F"/>
    <w:rsid w:val="009B6CAC"/>
    <w:rsid w:val="00A0155B"/>
    <w:rsid w:val="00A148BD"/>
    <w:rsid w:val="00A956FD"/>
    <w:rsid w:val="00AE43BA"/>
    <w:rsid w:val="00B02A1B"/>
    <w:rsid w:val="00B24D97"/>
    <w:rsid w:val="00B8384F"/>
    <w:rsid w:val="00C058A3"/>
    <w:rsid w:val="00C6442B"/>
    <w:rsid w:val="00CA25EC"/>
    <w:rsid w:val="00CC4494"/>
    <w:rsid w:val="00CF09B9"/>
    <w:rsid w:val="00D85962"/>
    <w:rsid w:val="00E01731"/>
    <w:rsid w:val="00E042FF"/>
    <w:rsid w:val="00E11367"/>
    <w:rsid w:val="00E15685"/>
    <w:rsid w:val="00E530BE"/>
    <w:rsid w:val="00E96635"/>
    <w:rsid w:val="00F77B48"/>
    <w:rsid w:val="00F90D24"/>
    <w:rsid w:val="00F9349B"/>
    <w:rsid w:val="00FB5A05"/>
    <w:rsid w:val="00F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2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0D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90D24"/>
  </w:style>
  <w:style w:type="paragraph" w:styleId="a6">
    <w:name w:val="footer"/>
    <w:basedOn w:val="a"/>
    <w:link w:val="a7"/>
    <w:uiPriority w:val="99"/>
    <w:semiHidden/>
    <w:unhideWhenUsed/>
    <w:rsid w:val="00722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6B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hafizova.ilsiya</dc:creator>
  <cp:lastModifiedBy>muhametshin.rustem</cp:lastModifiedBy>
  <cp:revision>28</cp:revision>
  <cp:lastPrinted>2020-02-14T05:55:00Z</cp:lastPrinted>
  <dcterms:created xsi:type="dcterms:W3CDTF">2024-02-12T10:22:00Z</dcterms:created>
  <dcterms:modified xsi:type="dcterms:W3CDTF">2024-02-12T11:30:00Z</dcterms:modified>
</cp:coreProperties>
</file>